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1" w:rsidRDefault="00966DC1" w:rsidP="00966DC1">
      <w:pPr>
        <w:pStyle w:val="BodyText"/>
        <w:spacing w:before="1" w:line="480" w:lineRule="auto"/>
        <w:ind w:left="100" w:right="116"/>
        <w:jc w:val="both"/>
      </w:pPr>
      <w:r>
        <w:t>Growing concerns about supply chain risks and the need for manufacturing firms to produce</w:t>
      </w:r>
      <w:r>
        <w:rPr>
          <w:spacing w:val="1"/>
        </w:rPr>
        <w:t xml:space="preserve"> </w:t>
      </w:r>
      <w:r>
        <w:t>environmentally friendly products led to this study which examined the role and contributions</w:t>
      </w:r>
      <w:r>
        <w:rPr>
          <w:spacing w:val="-57"/>
        </w:rPr>
        <w:t xml:space="preserve"> </w:t>
      </w:r>
      <w:r>
        <w:t>of supply chain risk management and</w:t>
      </w:r>
      <w:r>
        <w:rPr>
          <w:spacing w:val="1"/>
        </w:rPr>
        <w:t xml:space="preserve"> </w:t>
      </w:r>
      <w:r>
        <w:t>green supply chain practices on the</w:t>
      </w:r>
      <w:r>
        <w:rPr>
          <w:spacing w:val="1"/>
        </w:rPr>
        <w:t xml:space="preserve"> </w:t>
      </w:r>
      <w:r>
        <w:t>non-financial</w:t>
      </w:r>
      <w:r>
        <w:rPr>
          <w:spacing w:val="1"/>
        </w:rPr>
        <w:t xml:space="preserve"> </w:t>
      </w:r>
      <w:r>
        <w:t>performance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selected</w:t>
      </w:r>
      <w:r>
        <w:rPr>
          <w:spacing w:val="29"/>
        </w:rPr>
        <w:t xml:space="preserve"> </w:t>
      </w:r>
      <w:r>
        <w:t>manufacturing</w:t>
      </w:r>
      <w:r>
        <w:rPr>
          <w:spacing w:val="27"/>
        </w:rPr>
        <w:t xml:space="preserve"> </w:t>
      </w:r>
      <w:r>
        <w:t>companies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Nigeria.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specific</w:t>
      </w:r>
      <w:r>
        <w:rPr>
          <w:spacing w:val="26"/>
        </w:rPr>
        <w:t xml:space="preserve"> </w:t>
      </w:r>
      <w:r>
        <w:t>objectives</w:t>
      </w:r>
      <w:r>
        <w:rPr>
          <w:spacing w:val="28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to: determine the effect of green supply chain practices on the non-financial performances of</w:t>
      </w:r>
      <w:r>
        <w:rPr>
          <w:spacing w:val="1"/>
        </w:rPr>
        <w:t xml:space="preserve"> </w:t>
      </w:r>
      <w:r>
        <w:t>these companies; ascertain the influence of green supply chain practices on supply chain risk</w:t>
      </w:r>
      <w:r>
        <w:rPr>
          <w:spacing w:val="1"/>
        </w:rPr>
        <w:t xml:space="preserve"> </w:t>
      </w:r>
      <w:r>
        <w:t>management;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companies; examine the factors militating against reverse logistics in these companies and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companies.</w:t>
      </w:r>
    </w:p>
    <w:p w:rsidR="00966DC1" w:rsidRDefault="00966DC1" w:rsidP="00966DC1">
      <w:pPr>
        <w:pStyle w:val="BodyText"/>
        <w:spacing w:before="160" w:line="480" w:lineRule="auto"/>
        <w:ind w:left="100" w:right="116"/>
        <w:jc w:val="both"/>
      </w:pPr>
      <w:r>
        <w:t>The causal survey research design was adopted to study supply chain risk management, green</w:t>
      </w:r>
      <w:r>
        <w:rPr>
          <w:spacing w:val="-57"/>
        </w:rPr>
        <w:t xml:space="preserve"> </w:t>
      </w:r>
      <w:r>
        <w:t>supply chain practices and performance of selected manufacturing companies in Nigeria. The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random</w:t>
      </w:r>
      <w:r>
        <w:rPr>
          <w:spacing w:val="-58"/>
        </w:rPr>
        <w:t xml:space="preserve"> </w:t>
      </w:r>
      <w:r>
        <w:t>sampling technique was employed in selecting staff members in the listed manufacturing</w:t>
      </w:r>
      <w:r>
        <w:rPr>
          <w:spacing w:val="1"/>
        </w:rPr>
        <w:t xml:space="preserve"> </w:t>
      </w:r>
      <w:r>
        <w:t>firms on the Nigerian Stock Exchange. The healthcare and consumer goods strata constituted</w:t>
      </w:r>
      <w:r>
        <w:rPr>
          <w:spacing w:val="1"/>
        </w:rPr>
        <w:t xml:space="preserve"> </w:t>
      </w:r>
      <w:r>
        <w:t>the population of firms where nine were purposively selected from a total of nineteen.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sampled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eighteen</w:t>
      </w:r>
      <w:r>
        <w:rPr>
          <w:spacing w:val="1"/>
        </w:rPr>
        <w:t xml:space="preserve"> </w:t>
      </w:r>
      <w:r>
        <w:t>(218)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selected</w:t>
      </w:r>
      <w:r>
        <w:rPr>
          <w:spacing w:val="60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companies.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(frequency,</w:t>
      </w:r>
      <w:r>
        <w:rPr>
          <w:spacing w:val="1"/>
        </w:rPr>
        <w:t xml:space="preserve"> </w:t>
      </w:r>
      <w:r>
        <w:t>percentages, bar chart, mean, standard deviation) and inferential statistics methods (partial</w:t>
      </w:r>
      <w:r>
        <w:rPr>
          <w:spacing w:val="1"/>
        </w:rPr>
        <w:t xml:space="preserve"> </w:t>
      </w:r>
      <w:r>
        <w:t>least square regression {PLS-SEM}). Specifically, objectives one, two, three and five were</w:t>
      </w:r>
      <w:r>
        <w:rPr>
          <w:spacing w:val="1"/>
        </w:rPr>
        <w:t xml:space="preserve"> </w:t>
      </w:r>
      <w:r>
        <w:t>analyzed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PLS-SEM technique.</w:t>
      </w:r>
    </w:p>
    <w:p w:rsidR="00966DC1" w:rsidRDefault="00966DC1" w:rsidP="00966DC1">
      <w:pPr>
        <w:spacing w:line="480" w:lineRule="auto"/>
        <w:jc w:val="both"/>
        <w:sectPr w:rsidR="00966D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320" w:bottom="1200" w:left="1340" w:header="0" w:footer="1014" w:gutter="0"/>
          <w:cols w:space="720"/>
        </w:sectPr>
      </w:pPr>
    </w:p>
    <w:p w:rsidR="00966DC1" w:rsidRDefault="00966DC1" w:rsidP="00966DC1">
      <w:pPr>
        <w:pStyle w:val="BodyText"/>
        <w:spacing w:before="78" w:line="480" w:lineRule="auto"/>
        <w:ind w:left="100" w:right="112"/>
        <w:jc w:val="both"/>
      </w:pPr>
      <w:r>
        <w:lastRenderedPageBreak/>
        <w:t>Green supply chain practices were found to be a significant predictor of firm performance</w:t>
      </w:r>
      <w:r>
        <w:rPr>
          <w:spacing w:val="1"/>
        </w:rPr>
        <w:t xml:space="preserve"> </w:t>
      </w:r>
      <w:r>
        <w:t>(R</w:t>
      </w:r>
      <w:r>
        <w:rPr>
          <w:vertAlign w:val="superscript"/>
        </w:rPr>
        <w:t>2</w:t>
      </w:r>
      <w:r>
        <w:t>=0.732, p=0.000); and supply chain risk management processes (R</w:t>
      </w:r>
      <w:r>
        <w:rPr>
          <w:vertAlign w:val="superscript"/>
        </w:rPr>
        <w:t>2</w:t>
      </w:r>
      <w:r>
        <w:t>=0.724, p=0.000). The</w:t>
      </w:r>
      <w:r>
        <w:rPr>
          <w:spacing w:val="1"/>
        </w:rPr>
        <w:t xml:space="preserve"> </w:t>
      </w:r>
      <w:r>
        <w:t>result also showed that reverse logistics significantly predict firm performance ((R</w:t>
      </w:r>
      <w:r>
        <w:rPr>
          <w:vertAlign w:val="superscript"/>
        </w:rPr>
        <w:t>2</w:t>
      </w:r>
      <w:r>
        <w:t>=0.652,</w:t>
      </w:r>
      <w:r>
        <w:rPr>
          <w:spacing w:val="1"/>
        </w:rPr>
        <w:t xml:space="preserve"> </w:t>
      </w:r>
      <w:r>
        <w:t>p=0.000).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militating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enforceable laws and policies (</w:t>
      </w:r>
      <w:r>
        <w:rPr>
          <w:rFonts w:ascii="Cambria Math" w:eastAsia="Cambria Math" w:hAnsi="Cambria Math"/>
        </w:rPr>
        <w:t>𝑥̅ = 4.26,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𝜎 = 1.048</w:t>
      </w:r>
      <w:r>
        <w:t>) as well as lack of supportive economic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reverse</w:t>
      </w:r>
      <w:r>
        <w:rPr>
          <w:spacing w:val="61"/>
        </w:rPr>
        <w:t xml:space="preserve"> </w:t>
      </w:r>
      <w:r>
        <w:t>logistics</w:t>
      </w:r>
      <w:r>
        <w:rPr>
          <w:spacing w:val="61"/>
        </w:rPr>
        <w:t xml:space="preserve"> </w:t>
      </w:r>
      <w:r>
        <w:t>(</w:t>
      </w:r>
      <w:r>
        <w:rPr>
          <w:rFonts w:ascii="Cambria Math" w:eastAsia="Cambria Math" w:hAnsi="Cambria Math"/>
        </w:rPr>
        <w:t>𝑥̅ = 4.10,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𝜎 = 1.159</w:t>
      </w:r>
      <w:r>
        <w:t>)</w:t>
      </w:r>
      <w:r>
        <w:rPr>
          <w:spacing w:val="1"/>
        </w:rPr>
        <w:t xml:space="preserve"> </w:t>
      </w:r>
      <w:r>
        <w:t>nevertheless,</w:t>
      </w:r>
      <w:r>
        <w:rPr>
          <w:spacing w:val="60"/>
        </w:rPr>
        <w:t xml:space="preserve"> </w:t>
      </w:r>
      <w:r>
        <w:t>lack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infrastructure</w:t>
      </w:r>
      <w:r>
        <w:rPr>
          <w:spacing w:val="60"/>
        </w:rPr>
        <w:t xml:space="preserve"> </w:t>
      </w:r>
      <w:r>
        <w:t>needed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monitoring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reverse</w:t>
      </w:r>
      <w:r>
        <w:rPr>
          <w:spacing w:val="60"/>
        </w:rPr>
        <w:t xml:space="preserve"> </w:t>
      </w:r>
      <w:r>
        <w:t>logistics</w:t>
      </w:r>
      <w:r>
        <w:rPr>
          <w:spacing w:val="60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</w:t>
      </w:r>
      <w:r>
        <w:rPr>
          <w:rFonts w:ascii="Cambria Math" w:eastAsia="Cambria Math" w:hAnsi="Cambria Math"/>
        </w:rPr>
        <w:t>𝑥̅ = 4.01,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𝜎 = 1.168</w:t>
      </w:r>
      <w:r>
        <w:t>) was not popular among these firms. Supply chain risk management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also a</w:t>
      </w:r>
      <w:r>
        <w:rPr>
          <w:spacing w:val="-1"/>
        </w:rPr>
        <w:t xml:space="preserve"> </w:t>
      </w:r>
      <w:r>
        <w:t>significant predictor</w:t>
      </w:r>
      <w:r>
        <w:rPr>
          <w:spacing w:val="-1"/>
        </w:rPr>
        <w:t xml:space="preserve"> </w:t>
      </w:r>
      <w:r>
        <w:t>of firm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(R</w:t>
      </w:r>
      <w:r>
        <w:rPr>
          <w:vertAlign w:val="superscript"/>
        </w:rPr>
        <w:t>2</w:t>
      </w:r>
      <w:r>
        <w:t>=0.775, p=0.000).</w:t>
      </w:r>
    </w:p>
    <w:p w:rsidR="00966DC1" w:rsidRDefault="00966DC1" w:rsidP="00966DC1">
      <w:pPr>
        <w:pStyle w:val="BodyText"/>
        <w:spacing w:before="161" w:line="480" w:lineRule="auto"/>
        <w:ind w:left="100" w:right="116"/>
        <w:jc w:val="both"/>
      </w:pPr>
      <w:r>
        <w:t>Therefore,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 processes</w:t>
      </w:r>
      <w:r>
        <w:rPr>
          <w:spacing w:val="1"/>
        </w:rPr>
        <w:t xml:space="preserve"> </w:t>
      </w:r>
      <w:r>
        <w:t>while supply chain 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influences</w:t>
      </w:r>
      <w:r>
        <w:rPr>
          <w:spacing w:val="60"/>
        </w:rPr>
        <w:t xml:space="preserve"> </w:t>
      </w:r>
      <w:r>
        <w:t>the performance of</w:t>
      </w:r>
      <w:r>
        <w:rPr>
          <w:spacing w:val="1"/>
        </w:rPr>
        <w:t xml:space="preserve"> </w:t>
      </w:r>
      <w:r>
        <w:t>the selected companies. The study recommended that companies should continue to use green</w:t>
      </w:r>
      <w:r>
        <w:rPr>
          <w:spacing w:val="-57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environmentally</w:t>
      </w:r>
      <w:r>
        <w:rPr>
          <w:spacing w:val="-3"/>
        </w:rPr>
        <w:t xml:space="preserve"> </w:t>
      </w:r>
      <w:r>
        <w:t>friendly</w:t>
      </w:r>
      <w:r>
        <w:rPr>
          <w:spacing w:val="-3"/>
        </w:rPr>
        <w:t xml:space="preserve"> </w:t>
      </w:r>
      <w:r>
        <w:t>products.</w:t>
      </w:r>
    </w:p>
    <w:p w:rsidR="00966DC1" w:rsidRDefault="00966DC1" w:rsidP="00966DC1">
      <w:pPr>
        <w:spacing w:line="480" w:lineRule="auto"/>
        <w:jc w:val="both"/>
        <w:sectPr w:rsidR="00966DC1">
          <w:pgSz w:w="11910" w:h="16840"/>
          <w:pgMar w:top="1340" w:right="1320" w:bottom="1200" w:left="1340" w:header="0" w:footer="1014" w:gutter="0"/>
          <w:cols w:space="720"/>
        </w:sectPr>
      </w:pPr>
    </w:p>
    <w:p w:rsidR="0017792C" w:rsidRDefault="00084D87" w:rsidP="00966DC1">
      <w:pPr>
        <w:pStyle w:val="Heading1"/>
        <w:spacing w:before="60"/>
        <w:ind w:left="0" w:right="247"/>
        <w:jc w:val="center"/>
      </w:pPr>
      <w:bookmarkStart w:id="0" w:name="1_CHAPTER_ONE"/>
      <w:bookmarkStart w:id="1" w:name="_bookmark8"/>
      <w:bookmarkStart w:id="2" w:name="_GoBack"/>
      <w:bookmarkEnd w:id="0"/>
      <w:bookmarkEnd w:id="1"/>
      <w:bookmarkEnd w:id="2"/>
    </w:p>
    <w:sectPr w:rsidR="0017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87" w:rsidRDefault="00084D87" w:rsidP="00966DC1">
      <w:r>
        <w:separator/>
      </w:r>
    </w:p>
  </w:endnote>
  <w:endnote w:type="continuationSeparator" w:id="0">
    <w:p w:rsidR="00084D87" w:rsidRDefault="00084D87" w:rsidP="0096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1" w:rsidRDefault="00966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1" w:rsidRDefault="00966D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1" w:rsidRDefault="00966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87" w:rsidRDefault="00084D87" w:rsidP="00966DC1">
      <w:r>
        <w:separator/>
      </w:r>
    </w:p>
  </w:footnote>
  <w:footnote w:type="continuationSeparator" w:id="0">
    <w:p w:rsidR="00084D87" w:rsidRDefault="00084D87" w:rsidP="0096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1" w:rsidRDefault="00966D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72358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1" w:rsidRDefault="00966D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72359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1" w:rsidRDefault="00966D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72357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1"/>
    <w:rsid w:val="00084D87"/>
    <w:rsid w:val="000F0F5B"/>
    <w:rsid w:val="00312468"/>
    <w:rsid w:val="009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66DC1"/>
    <w:pPr>
      <w:ind w:left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6D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6D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6DC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6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DC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66DC1"/>
    <w:pPr>
      <w:ind w:left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6D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6D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6DC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6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D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2022-05-19T12:28:00Z</dcterms:created>
  <dcterms:modified xsi:type="dcterms:W3CDTF">2022-05-19T12:30:00Z</dcterms:modified>
</cp:coreProperties>
</file>